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7540002"/>
                <wp:effectExtent b="0" l="0" r="0" t="0"/>
                <wp:wrapNone/>
                <wp:docPr id="19" name=""/>
                <a:graphic>
                  <a:graphicData uri="http://schemas.microsoft.com/office/word/2010/wordprocessingGroup">
                    <wpg:wgp>
                      <wpg:cNvGrpSpPr/>
                      <wpg:grpSpPr>
                        <a:xfrm>
                          <a:off x="2202750" y="9975"/>
                          <a:ext cx="6286500" cy="7540002"/>
                          <a:chOff x="2202750" y="9975"/>
                          <a:chExt cx="6286500" cy="7540050"/>
                        </a:xfrm>
                      </wpg:grpSpPr>
                      <wpg:grpSp>
                        <wpg:cNvGrpSpPr/>
                        <wpg:grpSpPr>
                          <a:xfrm>
                            <a:off x="2202750" y="9999"/>
                            <a:ext cx="6286500" cy="7540002"/>
                            <a:chOff x="2202750" y="9975"/>
                            <a:chExt cx="6286500" cy="7540050"/>
                          </a:xfrm>
                        </wpg:grpSpPr>
                        <wps:wsp>
                          <wps:cNvSpPr/>
                          <wps:cNvPr id="3" name="Shape 3"/>
                          <wps:spPr>
                            <a:xfrm>
                              <a:off x="2202750" y="9975"/>
                              <a:ext cx="6286500" cy="7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9999"/>
                              <a:ext cx="6286500" cy="7540002"/>
                              <a:chOff x="2202750" y="9975"/>
                              <a:chExt cx="6286500" cy="7540050"/>
                            </a:xfrm>
                          </wpg:grpSpPr>
                          <wps:wsp>
                            <wps:cNvSpPr/>
                            <wps:cNvPr id="5" name="Shape 5"/>
                            <wps:spPr>
                              <a:xfrm>
                                <a:off x="2202750" y="9975"/>
                                <a:ext cx="6286500" cy="7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9999"/>
                                <a:ext cx="6286500" cy="7540002"/>
                                <a:chOff x="2202750" y="9975"/>
                                <a:chExt cx="6286500" cy="7540050"/>
                              </a:xfrm>
                            </wpg:grpSpPr>
                            <wps:wsp>
                              <wps:cNvSpPr/>
                              <wps:cNvPr id="7" name="Shape 7"/>
                              <wps:spPr>
                                <a:xfrm>
                                  <a:off x="2202750" y="9975"/>
                                  <a:ext cx="6286500" cy="7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9999"/>
                                  <a:ext cx="6286500" cy="7540002"/>
                                  <a:chOff x="2202750" y="9975"/>
                                  <a:chExt cx="6286500" cy="7540050"/>
                                </a:xfrm>
                              </wpg:grpSpPr>
                              <wps:wsp>
                                <wps:cNvSpPr/>
                                <wps:cNvPr id="9" name="Shape 9"/>
                                <wps:spPr>
                                  <a:xfrm>
                                    <a:off x="2202750" y="9975"/>
                                    <a:ext cx="6286500" cy="7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9999"/>
                                    <a:ext cx="6286500" cy="7540002"/>
                                    <a:chOff x="2202750" y="0"/>
                                    <a:chExt cx="6286500" cy="7560000"/>
                                  </a:xfrm>
                                </wpg:grpSpPr>
                                <wps:wsp>
                                  <wps:cNvSpPr/>
                                  <wps:cNvPr id="11" name="Shape 11"/>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13" name="Shape 13"/>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15" name="Shape 1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17" name="Shape 1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9" name="Shape 19"/>
                                        <wps:spPr>
                                          <a:xfrm>
                                            <a:off x="-133357" y="105999"/>
                                            <a:ext cx="5485200" cy="461520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3.0000114440918"/>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3.0000114440918"/>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3.0000114440918"/>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7540002"/>
                <wp:effectExtent b="0" l="0" r="0" t="0"/>
                <wp:wrapNone/>
                <wp:docPr id="19"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286500" cy="7540002"/>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96529</wp:posOffset>
            </wp:positionH>
            <wp:positionV relativeFrom="paragraph">
              <wp:posOffset>1698625</wp:posOffset>
            </wp:positionV>
            <wp:extent cx="1647190" cy="1371600"/>
            <wp:effectExtent b="0" l="0" r="0" t="0"/>
            <wp:wrapNone/>
            <wp:docPr descr="Crown Commercial Service" id="20" name="image1.png"/>
            <a:graphic>
              <a:graphicData uri="http://schemas.openxmlformats.org/drawingml/2006/picture">
                <pic:pic>
                  <pic:nvPicPr>
                    <pic:cNvPr descr="Crown Commercial Service" id="0" name="image1.png"/>
                    <pic:cNvPicPr preferRelativeResize="0"/>
                  </pic:nvPicPr>
                  <pic:blipFill>
                    <a:blip r:embed="rId8"/>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tabs>
          <w:tab w:val="left" w:leader="none" w:pos="1776"/>
        </w:tabs>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1C">
      <w:pPr>
        <w:tabs>
          <w:tab w:val="left" w:leader="none" w:pos="1776"/>
        </w:tabs>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RM6329 Logistics, Warehousing and Supply Chain Solutions.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1D">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20">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22">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26">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27">
                  <w:pPr>
                    <w:spacing w:after="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8">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29">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[Supplier Address]</w:t>
                  </w:r>
                  <w:r w:rsidDel="00000000" w:rsidR="00000000" w:rsidRPr="00000000">
                    <w:rPr>
                      <w:rtl w:val="0"/>
                    </w:rPr>
                  </w:r>
                </w:p>
                <w:p w:rsidR="00000000" w:rsidDel="00000000" w:rsidP="00000000" w:rsidRDefault="00000000" w:rsidRPr="00000000" w14:paraId="0000002A">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B">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2C">
                  <w:pPr>
                    <w:spacing w:after="0" w:lineRule="auto"/>
                    <w:rPr>
                      <w:rFonts w:ascii="Arial" w:cs="Arial" w:eastAsia="Arial" w:hAnsi="Arial"/>
                      <w:color w:val="000000"/>
                      <w:sz w:val="24"/>
                      <w:szCs w:val="24"/>
                      <w:highlight w:val="yellow"/>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2E">
                  <w:pPr>
                    <w:spacing w:after="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rtl w:val="0"/>
                    </w:rPr>
                    <w:t xml:space="preserve">SID4GOV ID if you have on</w:t>
                  </w:r>
                  <w:r w:rsidDel="00000000" w:rsidR="00000000" w:rsidRPr="00000000">
                    <w:rPr>
                      <w:rFonts w:ascii="Arial" w:cs="Arial" w:eastAsia="Arial" w:hAnsi="Arial"/>
                      <w:b w:val="1"/>
                      <w:color w:val="000000"/>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F">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0">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1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to be considered for Call-off Contracts to supply the Deliverables</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Lot(s). You cannot deliver in any other Lot under this contract.</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references made to other Lots in this contract do not apply.</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h12li39741l4" w:id="1"/>
            <w:bookmarkEnd w:id="1"/>
            <w:r w:rsidDel="00000000" w:rsidR="00000000" w:rsidRPr="00000000">
              <w:rPr>
                <w:rFonts w:ascii="Arial" w:cs="Arial" w:eastAsia="Arial" w:hAnsi="Arial"/>
                <w:color w:val="000000"/>
                <w:sz w:val="24"/>
                <w:szCs w:val="24"/>
                <w:rtl w:val="0"/>
              </w:rPr>
              <w:t xml:space="preserve">Service reference </w:t>
            </w:r>
            <w:r w:rsidDel="00000000" w:rsidR="00000000" w:rsidRPr="00000000">
              <w:rPr>
                <w:rFonts w:ascii="Arial" w:cs="Arial" w:eastAsia="Arial" w:hAnsi="Arial"/>
                <w:b w:val="1"/>
                <w:color w:val="000000"/>
                <w:sz w:val="23"/>
                <w:szCs w:val="23"/>
                <w:rtl w:val="0"/>
              </w:rPr>
              <w:t xml:space="preserve">2024/S 000-009316</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rtl w:val="0"/>
              </w:rPr>
              <w:t xml:space="preserve">(FTS Contract Notice).</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3B">
            <w:pPr>
              <w:keepNext w:val="1"/>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3D">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Attachments 1a-1j Framework Schedule 1 Specification (Core Requirements and Annexes 1 - 8) for further details.</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1 – Haulage and Distribution Services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1">
            <w:pPr>
              <w:shd w:fill="ffffff" w:val="clea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 – Warehousing and Storage Solutions</w:t>
            </w:r>
          </w:p>
          <w:p w:rsidR="00000000" w:rsidDel="00000000" w:rsidP="00000000" w:rsidRDefault="00000000" w:rsidRPr="00000000" w14:paraId="00000042">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3 - Logistics Consultancy, Supply Chain and Design Solutions</w:t>
            </w:r>
          </w:p>
          <w:p w:rsidR="00000000" w:rsidDel="00000000" w:rsidP="00000000" w:rsidRDefault="00000000" w:rsidRPr="00000000" w14:paraId="00000044">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4 - 3</w:t>
            </w:r>
            <w:r w:rsidDel="00000000" w:rsidR="00000000" w:rsidRPr="00000000">
              <w:rPr>
                <w:rFonts w:ascii="Arial" w:cs="Arial" w:eastAsia="Arial" w:hAnsi="Arial"/>
                <w:color w:val="000000"/>
                <w:sz w:val="24"/>
                <w:szCs w:val="24"/>
                <w:vertAlign w:val="superscript"/>
                <w:rtl w:val="0"/>
              </w:rPr>
              <w:t xml:space="preserve">rd</w:t>
            </w:r>
            <w:r w:rsidDel="00000000" w:rsidR="00000000" w:rsidRPr="00000000">
              <w:rPr>
                <w:rFonts w:ascii="Arial" w:cs="Arial" w:eastAsia="Arial" w:hAnsi="Arial"/>
                <w:color w:val="000000"/>
                <w:sz w:val="24"/>
                <w:szCs w:val="24"/>
                <w:rtl w:val="0"/>
              </w:rPr>
              <w:t xml:space="preserve"> Party, 4</w:t>
            </w:r>
            <w:r w:rsidDel="00000000" w:rsidR="00000000" w:rsidRPr="00000000">
              <w:rPr>
                <w:rFonts w:ascii="Arial" w:cs="Arial" w:eastAsia="Arial" w:hAnsi="Arial"/>
                <w:color w:val="000000"/>
                <w:sz w:val="24"/>
                <w:szCs w:val="24"/>
                <w:vertAlign w:val="superscript"/>
                <w:rtl w:val="0"/>
              </w:rPr>
              <w:t xml:space="preserve">th</w:t>
            </w:r>
            <w:r w:rsidDel="00000000" w:rsidR="00000000" w:rsidRPr="00000000">
              <w:rPr>
                <w:rFonts w:ascii="Arial" w:cs="Arial" w:eastAsia="Arial" w:hAnsi="Arial"/>
                <w:color w:val="000000"/>
                <w:sz w:val="24"/>
                <w:szCs w:val="24"/>
                <w:rtl w:val="0"/>
              </w:rPr>
              <w:t xml:space="preserve"> Party and 5</w:t>
            </w:r>
            <w:r w:rsidDel="00000000" w:rsidR="00000000" w:rsidRPr="00000000">
              <w:rPr>
                <w:rFonts w:ascii="Arial" w:cs="Arial" w:eastAsia="Arial" w:hAnsi="Arial"/>
                <w:color w:val="000000"/>
                <w:sz w:val="24"/>
                <w:szCs w:val="24"/>
                <w:vertAlign w:val="superscript"/>
                <w:rtl w:val="0"/>
              </w:rPr>
              <w:t xml:space="preserve">th</w:t>
            </w:r>
            <w:r w:rsidDel="00000000" w:rsidR="00000000" w:rsidRPr="00000000">
              <w:rPr>
                <w:rFonts w:ascii="Arial" w:cs="Arial" w:eastAsia="Arial" w:hAnsi="Arial"/>
                <w:color w:val="000000"/>
                <w:sz w:val="24"/>
                <w:szCs w:val="24"/>
                <w:rtl w:val="0"/>
              </w:rPr>
              <w:t xml:space="preserve"> Party Logistics Solutions</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47">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5 - Removal and Relocation Services</w:t>
            </w:r>
          </w:p>
          <w:p w:rsidR="00000000" w:rsidDel="00000000" w:rsidP="00000000" w:rsidRDefault="00000000" w:rsidRPr="00000000" w14:paraId="00000048">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9">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6 – Vehicle and Plant Movement, Storage and Detention Solutions</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B">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7 - Events, Shows and Exhibition Logistics Solutions</w:t>
            </w:r>
          </w:p>
          <w:p w:rsidR="00000000" w:rsidDel="00000000" w:rsidP="00000000" w:rsidRDefault="00000000" w:rsidRPr="00000000" w14:paraId="0000004C">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D">
            <w:pPr>
              <w:shd w:fill="ffffff" w:val="clear"/>
              <w:tabs>
                <w:tab w:val="left" w:leader="none" w:pos="2381"/>
                <w:tab w:val="left" w:leader="none" w:pos="2552"/>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8 – Construction Logistics and Associated Solutions</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3">
            <w:pPr>
              <w:spacing w:after="0" w:lineRule="auto"/>
              <w:ind w:right="936"/>
              <w:rPr>
                <w:rFonts w:ascii="Arial" w:cs="Arial" w:eastAsia="Arial" w:hAnsi="Arial"/>
                <w:color w:val="000000"/>
                <w:sz w:val="24"/>
                <w:szCs w:val="24"/>
                <w:highlight w:val="cyan"/>
              </w:rPr>
            </w:pPr>
            <w:r w:rsidDel="00000000" w:rsidR="00000000" w:rsidRPr="00000000">
              <w:rPr>
                <w:rFonts w:ascii="Arial" w:cs="Arial" w:eastAsia="Arial" w:hAnsi="Arial"/>
                <w:color w:val="000000"/>
                <w:sz w:val="24"/>
                <w:szCs w:val="24"/>
                <w:rtl w:val="0"/>
              </w:rPr>
              <w:t xml:space="preserve">29/10/2024</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7">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28/10/2028</w:t>
            </w:r>
          </w:p>
        </w:tc>
      </w:tr>
      <w:tr>
        <w:trPr>
          <w:cantSplit w:val="0"/>
          <w:trHeight w:val="471" w:hRule="atLeast"/>
          <w:tblHeader w:val="0"/>
        </w:trPr>
        <w:tc>
          <w:tcPr/>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5D">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                                       </w:t>
            </w: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5E">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61">
            <w:pPr>
              <w:numPr>
                <w:ilvl w:val="0"/>
                <w:numId w:val="4"/>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62">
            <w:pPr>
              <w:numPr>
                <w:ilvl w:val="0"/>
                <w:numId w:val="4"/>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63">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4">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Framework Schedule 7 (Call-off Award Procedure)</w:t>
            </w: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65">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6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spacing w:after="0" w:line="259" w:lineRule="auto"/>
              <w:rPr>
                <w:rFonts w:ascii="Arial" w:cs="Arial" w:eastAsia="Arial" w:hAnsi="Arial"/>
                <w:sz w:val="24"/>
                <w:szCs w:val="24"/>
              </w:rPr>
            </w:pPr>
            <w:r w:rsidDel="00000000" w:rsidR="00000000" w:rsidRPr="00000000">
              <w:rPr>
                <w:rtl w:val="0"/>
              </w:rPr>
            </w:r>
          </w:p>
        </w:tc>
        <w:tc>
          <w:tcPr>
            <w:shd w:fill="f3f3f3" w:val="clear"/>
          </w:tcPr>
          <w:p w:rsidR="00000000" w:rsidDel="00000000" w:rsidP="00000000" w:rsidRDefault="00000000" w:rsidRPr="00000000" w14:paraId="0000007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7C">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RM6329</w:t>
            </w:r>
          </w:p>
          <w:p w:rsidR="00000000" w:rsidDel="00000000" w:rsidP="00000000" w:rsidRDefault="00000000" w:rsidRPr="00000000" w14:paraId="0000007D">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RM6329</w:t>
            </w:r>
          </w:p>
          <w:p w:rsidR="00000000" w:rsidDel="00000000" w:rsidP="00000000" w:rsidRDefault="00000000" w:rsidRPr="00000000" w14:paraId="0000007E">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RM6329 (in equal order of precedence):</w:t>
            </w:r>
          </w:p>
          <w:p w:rsidR="00000000" w:rsidDel="00000000" w:rsidP="00000000" w:rsidRDefault="00000000" w:rsidRPr="00000000" w14:paraId="0000007F">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(Core requirements and Annexes 1 - 8)</w:t>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81">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82">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83">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efefef" w:val="clear"/>
              </w:rPr>
            </w:pPr>
            <w:r w:rsidDel="00000000" w:rsidR="00000000" w:rsidRPr="00000000">
              <w:rPr>
                <w:rFonts w:ascii="Arial" w:cs="Arial" w:eastAsia="Arial" w:hAnsi="Arial"/>
                <w:color w:val="000000"/>
                <w:sz w:val="24"/>
                <w:szCs w:val="24"/>
                <w:shd w:fill="efefef" w:val="clear"/>
                <w:rtl w:val="0"/>
              </w:rPr>
              <w:t xml:space="preserve">Call-Off Schedule 5 </w:t>
            </w:r>
            <w:r w:rsidDel="00000000" w:rsidR="00000000" w:rsidRPr="00000000">
              <w:rPr>
                <w:rFonts w:ascii="Arial" w:cs="Arial" w:eastAsia="Arial" w:hAnsi="Arial"/>
                <w:i w:val="1"/>
                <w:color w:val="000000"/>
                <w:sz w:val="24"/>
                <w:szCs w:val="24"/>
                <w:shd w:fill="efefef" w:val="clear"/>
                <w:rtl w:val="0"/>
              </w:rPr>
              <w:t xml:space="preserve">(</w:t>
            </w:r>
            <w:r w:rsidDel="00000000" w:rsidR="00000000" w:rsidRPr="00000000">
              <w:rPr>
                <w:rFonts w:ascii="Arial" w:cs="Arial" w:eastAsia="Arial" w:hAnsi="Arial"/>
                <w:color w:val="000000"/>
                <w:sz w:val="24"/>
                <w:szCs w:val="24"/>
                <w:shd w:fill="efefef" w:val="clear"/>
                <w:rtl w:val="0"/>
              </w:rPr>
              <w:t xml:space="preserve">Pricing Details)</w:t>
              <w:tab/>
              <w:t xml:space="preserve">           </w:t>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efefef" w:val="clear"/>
              </w:rPr>
            </w:pPr>
            <w:r w:rsidDel="00000000" w:rsidR="00000000" w:rsidRPr="00000000">
              <w:rPr>
                <w:rFonts w:ascii="Arial" w:cs="Arial" w:eastAsia="Arial" w:hAnsi="Arial"/>
                <w:color w:val="000000"/>
                <w:sz w:val="24"/>
                <w:szCs w:val="24"/>
                <w:shd w:fill="efefef" w:val="clear"/>
                <w:rtl w:val="0"/>
              </w:rPr>
              <w:t xml:space="preserve">Call-Off Schedule 6 (ICT Services) </w:t>
              <w:tab/>
              <w:tab/>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efefef" w:val="clear"/>
              </w:rPr>
            </w:pPr>
            <w:r w:rsidDel="00000000" w:rsidR="00000000" w:rsidRPr="00000000">
              <w:rPr>
                <w:rFonts w:ascii="Arial" w:cs="Arial" w:eastAsia="Arial" w:hAnsi="Arial"/>
                <w:color w:val="000000"/>
                <w:sz w:val="24"/>
                <w:szCs w:val="24"/>
                <w:shd w:fill="efefef" w:val="clear"/>
                <w:rtl w:val="0"/>
              </w:rPr>
              <w:t xml:space="preserve">Call-Off Schedule 7 (Key Supplier Staff)</w:t>
              <w:tab/>
              <w:tab/>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efefef" w:val="clear"/>
              </w:rPr>
            </w:pPr>
            <w:r w:rsidDel="00000000" w:rsidR="00000000" w:rsidRPr="00000000">
              <w:rPr>
                <w:rFonts w:ascii="Arial" w:cs="Arial" w:eastAsia="Arial" w:hAnsi="Arial"/>
                <w:color w:val="000000"/>
                <w:sz w:val="24"/>
                <w:szCs w:val="24"/>
                <w:shd w:fill="efefef" w:val="clear"/>
                <w:rtl w:val="0"/>
              </w:rPr>
              <w:t xml:space="preserve">Call-Off Schedule 8 (Business Continuity and Disaster Recovery) </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efefef" w:val="clear"/>
              </w:rPr>
            </w:pPr>
            <w:r w:rsidDel="00000000" w:rsidR="00000000" w:rsidRPr="00000000">
              <w:rPr>
                <w:rFonts w:ascii="Arial" w:cs="Arial" w:eastAsia="Arial" w:hAnsi="Arial"/>
                <w:color w:val="000000"/>
                <w:sz w:val="24"/>
                <w:szCs w:val="24"/>
                <w:shd w:fill="efefef" w:val="clear"/>
                <w:rtl w:val="0"/>
              </w:rPr>
              <w:t xml:space="preserve">Call-Off Schedule 9 (Security)</w:t>
              <w:tab/>
              <w:tab/>
              <w:t xml:space="preserve"> </w:t>
              <w:tab/>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10 (Exit Management) </w:t>
              <w:tab/>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12 (Clustering) </w:t>
              <w:tab/>
              <w:tab/>
            </w:r>
          </w:p>
          <w:p w:rsidR="00000000" w:rsidDel="00000000" w:rsidP="00000000" w:rsidRDefault="00000000" w:rsidRPr="00000000" w14:paraId="0000008F">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13 (Implementation Plan and Testing)]</w:t>
            </w:r>
          </w:p>
          <w:p w:rsidR="00000000" w:rsidDel="00000000" w:rsidP="00000000" w:rsidRDefault="00000000" w:rsidRPr="00000000" w14:paraId="00000090">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14 (Service Levels) </w:t>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15 (Call-Off Contract Management)]</w:t>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16 (Benchmarking) </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17 (MOD Terms) </w:t>
              <w:tab/>
              <w:t xml:space="preserve">               </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18 (Background Checks) </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19 (Scottish Law)</w:t>
              <w:tab/>
              <w:tab/>
              <w:t xml:space="preserve">     </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20 (Call-Off Specification)    </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21 (Northern Ireland Law)    </w:t>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22 (Lease Terms)                </w:t>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23 (HMRC Terms)                </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bookmarkStart w:colFirst="0" w:colLast="0" w:name="_heading=h.30j0zll" w:id="2"/>
            <w:bookmarkEnd w:id="2"/>
            <w:r w:rsidDel="00000000" w:rsidR="00000000" w:rsidRPr="00000000">
              <w:rPr>
                <w:rFonts w:ascii="Arial" w:cs="Arial" w:eastAsia="Arial" w:hAnsi="Arial"/>
                <w:color w:val="000000"/>
                <w:sz w:val="24"/>
                <w:szCs w:val="24"/>
                <w:shd w:fill="f3f3f3" w:val="clear"/>
                <w:rtl w:val="0"/>
              </w:rPr>
              <w:t xml:space="preserve">Call-Off Schedule 24 (Corporate Resolution Planning)                    </w:t>
              <w:tab/>
              <w:tab/>
              <w:tab/>
              <w:tab/>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25 (Domestic Transport)</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bookmarkStart w:colFirst="0" w:colLast="0" w:name="_heading=h.1fob9te" w:id="3"/>
            <w:bookmarkEnd w:id="3"/>
            <w:r w:rsidDel="00000000" w:rsidR="00000000" w:rsidRPr="00000000">
              <w:rPr>
                <w:rFonts w:ascii="Arial" w:cs="Arial" w:eastAsia="Arial" w:hAnsi="Arial"/>
                <w:color w:val="000000"/>
                <w:sz w:val="24"/>
                <w:szCs w:val="24"/>
                <w:shd w:fill="f3f3f3" w:val="clear"/>
                <w:rtl w:val="0"/>
              </w:rPr>
              <w:t xml:space="preserve">Call-Off Schedule 26 (Domestic Storage and Fulfilment)</w:t>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27 (International Warehousing, Storage and Fulfilment)</w:t>
            </w:r>
          </w:p>
          <w:p w:rsidR="00000000" w:rsidDel="00000000" w:rsidP="00000000" w:rsidRDefault="00000000" w:rsidRPr="00000000" w14:paraId="0000009E">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Call-Off Schedule 28 (International Transport)</w:t>
            </w:r>
          </w:p>
          <w:p w:rsidR="00000000" w:rsidDel="00000000" w:rsidP="00000000" w:rsidRDefault="00000000" w:rsidRPr="00000000" w14:paraId="0000009F">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A0">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A1">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A2">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A3">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A4">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A5">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Joint Schedule 6 (Key Subcontractors)</w:t>
            </w:r>
          </w:p>
          <w:p w:rsidR="00000000" w:rsidDel="00000000" w:rsidP="00000000" w:rsidRDefault="00000000" w:rsidRPr="00000000" w14:paraId="000000A6">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Joint Schedule 7 (Financial Difficulties)</w:t>
            </w:r>
          </w:p>
          <w:p w:rsidR="00000000" w:rsidDel="00000000" w:rsidP="00000000" w:rsidRDefault="00000000" w:rsidRPr="00000000" w14:paraId="000000A7">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Joint Schedule 8 (Guarantee)</w:t>
            </w:r>
          </w:p>
          <w:p w:rsidR="00000000" w:rsidDel="00000000" w:rsidP="00000000" w:rsidRDefault="00000000" w:rsidRPr="00000000" w14:paraId="000000A8">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Joint Schedule 9 (Minimum Standards of Reliability)</w:t>
            </w:r>
          </w:p>
          <w:p w:rsidR="00000000" w:rsidDel="00000000" w:rsidP="00000000" w:rsidRDefault="00000000" w:rsidRPr="00000000" w14:paraId="000000A9">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Joint Schedule 10 (Rectification Plan)</w:t>
            </w:r>
          </w:p>
          <w:p w:rsidR="00000000" w:rsidDel="00000000" w:rsidP="00000000" w:rsidRDefault="00000000" w:rsidRPr="00000000" w14:paraId="000000AA">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shd w:fill="f3f3f3" w:val="clear"/>
              </w:rPr>
            </w:pPr>
            <w:r w:rsidDel="00000000" w:rsidR="00000000" w:rsidRPr="00000000">
              <w:rPr>
                <w:rFonts w:ascii="Arial" w:cs="Arial" w:eastAsia="Arial" w:hAnsi="Arial"/>
                <w:color w:val="000000"/>
                <w:sz w:val="24"/>
                <w:szCs w:val="24"/>
                <w:shd w:fill="f3f3f3" w:val="clear"/>
                <w:rtl w:val="0"/>
              </w:rPr>
              <w:t xml:space="preserve">Joint Schedule 12 (Supply Chain Visibility)</w:t>
            </w:r>
          </w:p>
          <w:p w:rsidR="00000000" w:rsidDel="00000000" w:rsidP="00000000" w:rsidRDefault="00000000" w:rsidRPr="00000000" w14:paraId="000000AB">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AC">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RM6329</w:t>
            </w:r>
          </w:p>
          <w:p w:rsidR="00000000" w:rsidDel="00000000" w:rsidP="00000000" w:rsidRDefault="00000000" w:rsidRPr="00000000" w14:paraId="000000AD">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RM6329 as long as any part of the Framework Tender that offers a better commercial position for CCS or Buyers (as decided by CCS) take precedence over the documents above </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AF">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0B1">
            <w:pPr>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B2">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176" w:hanging="4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5">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B6">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B9">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Certificate (or equivalent). Details in Framework Schedule 9 (Cyber Essentials Scheme)</w:t>
            </w:r>
          </w:p>
        </w:tc>
      </w:tr>
      <w:tr>
        <w:trPr>
          <w:cantSplit w:val="0"/>
          <w:trHeight w:val="731" w:hRule="atLeast"/>
          <w:tblHeader w:val="0"/>
        </w:trPr>
        <w:tc>
          <w:tcPr/>
          <w:p w:rsidR="00000000" w:rsidDel="00000000" w:rsidP="00000000" w:rsidRDefault="00000000" w:rsidRPr="00000000" w14:paraId="000000BD">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B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0.75%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C0">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5">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6">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7">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8">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ind w:firstLine="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C">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D">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E">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F">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3">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4">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5">
            <w:pPr>
              <w:rPr>
                <w:rFonts w:ascii="Arial" w:cs="Arial" w:eastAsia="Arial" w:hAnsi="Arial"/>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6">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A">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B">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DC">
            <w:pPr>
              <w:rPr>
                <w:rFonts w:ascii="Arial" w:cs="Arial" w:eastAsia="Arial" w:hAnsi="Arial"/>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D">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D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E0">
            <w:pPr>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1">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E5">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E6">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E7">
            <w:pPr>
              <w:rPr>
                <w:rFonts w:ascii="Arial" w:cs="Arial" w:eastAsia="Arial" w:hAnsi="Arial"/>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8">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ind w:left="34"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EA">
            <w:pPr>
              <w:spacing w:after="120" w:before="12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If Applicable - Please see the embedded folder within the Framework Contract Documents folder.</w:t>
            </w:r>
          </w:p>
        </w:tc>
      </w:tr>
      <w:tr>
        <w:trPr>
          <w:cantSplit w:val="0"/>
          <w:trHeight w:val="1333" w:hRule="atLeast"/>
          <w:tblHeader w:val="0"/>
        </w:trPr>
        <w:tc>
          <w:tcPr/>
          <w:p w:rsidR="00000000" w:rsidDel="00000000" w:rsidP="00000000" w:rsidRDefault="00000000" w:rsidRPr="00000000" w14:paraId="000000EB">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ind w:hanging="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EF">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F0">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F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rPr>
          <w:rFonts w:ascii="Arial" w:cs="Arial" w:eastAsia="Arial" w:hAnsi="Arial"/>
          <w:sz w:val="24"/>
          <w:szCs w:val="24"/>
        </w:rPr>
      </w:pPr>
      <w:bookmarkStart w:colFirst="0" w:colLast="0" w:name="_heading=h.3znysh7" w:id="4"/>
      <w:bookmarkEnd w:id="4"/>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p>
        </w:tc>
        <w:tc>
          <w:tcPr>
            <w:gridSpan w:val="2"/>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635" w:hRule="atLeast"/>
          <w:tblHeader w:val="0"/>
        </w:trPr>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D">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F">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635" w:hRule="atLeast"/>
          <w:tblHeader w:val="0"/>
        </w:trPr>
        <w:tc>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863" w:hRule="atLeast"/>
          <w:tblHeader w:val="0"/>
        </w:trPr>
        <w:tc>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[Date]</w:t>
            </w:r>
          </w:p>
        </w:tc>
      </w:tr>
    </w:tbl>
    <w:p w:rsidR="00000000" w:rsidDel="00000000" w:rsidP="00000000" w:rsidRDefault="00000000" w:rsidRPr="00000000" w14:paraId="00000108">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0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1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3">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E132E"/>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tabs>
        <w:tab w:val="left" w:pos="-5585"/>
      </w:tabs>
      <w:spacing w:after="120" w:line="240" w:lineRule="auto"/>
      <w:ind w:left="3600" w:hanging="360"/>
      <w:jc w:val="both"/>
      <w:outlineLvl w:val="4"/>
    </w:pPr>
    <w:rPr>
      <w:rFonts w:ascii="Arial" w:cs="Arial" w:eastAsia="Arial" w:hAnsi="Arial"/>
    </w:rPr>
  </w:style>
  <w:style w:type="paragraph" w:styleId="Heading6">
    <w:name w:val="heading 6"/>
    <w:basedOn w:val="Normal"/>
    <w:next w:val="Normal"/>
    <w:uiPriority w:val="9"/>
    <w:semiHidden w:val="1"/>
    <w:unhideWhenUsed w:val="1"/>
    <w:qFormat w:val="1"/>
    <w:pPr>
      <w:tabs>
        <w:tab w:val="left" w:pos="-8987"/>
        <w:tab w:val="left" w:pos="-8420"/>
      </w:tabs>
      <w:spacing w:after="120" w:line="240" w:lineRule="auto"/>
      <w:ind w:left="3600" w:hanging="360"/>
      <w:jc w:val="both"/>
      <w:outlineLvl w:val="5"/>
    </w:pPr>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6" w:customStyle="1">
    <w:basedOn w:val="TableNormal"/>
    <w:rPr>
      <w:color w:val="366091"/>
    </w:rPr>
    <w:tblPr>
      <w:tblStyleRowBandSize w:val="1"/>
      <w:tblStyleColBandSize w:val="1"/>
    </w:tblPr>
  </w:style>
  <w:style w:type="table" w:styleId="a7"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8"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9" w:customStyle="1">
    <w:basedOn w:val="TableNormal"/>
    <w:rPr>
      <w:color w:val="366091"/>
    </w:rPr>
    <w:tblPr>
      <w:tblStyleRowBandSize w:val="1"/>
      <w:tblStyleColBandSize w:val="1"/>
    </w:tblPr>
  </w:style>
  <w:style w:type="table" w:styleId="aa"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b"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c" w:customStyle="1">
    <w:basedOn w:val="TableNormal"/>
    <w:rPr>
      <w:color w:val="366091"/>
    </w:rPr>
    <w:tblPr>
      <w:tblStyleRowBandSize w:val="1"/>
      <w:tblStyleColBandSize w:val="1"/>
    </w:tblPr>
  </w:style>
  <w:style w:type="table" w:styleId="ad"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unhideWhenUsed w:val="1"/>
    <w:rsid w:val="008F6B9F"/>
    <w:rPr>
      <w:color w:val="0000ff" w:themeColor="hyperlink"/>
      <w:u w:val="single"/>
    </w:rPr>
  </w:style>
  <w:style w:type="character" w:styleId="UnresolvedMention">
    <w:name w:val="Unresolved Mention"/>
    <w:basedOn w:val="DefaultParagraphFont"/>
    <w:uiPriority w:val="99"/>
    <w:semiHidden w:val="1"/>
    <w:unhideWhenUsed w:val="1"/>
    <w:rsid w:val="008F6B9F"/>
    <w:rPr>
      <w:color w:val="605e5c"/>
      <w:shd w:color="auto" w:fill="e1dfdd" w:val="clear"/>
    </w:rPr>
  </w:style>
  <w:style w:type="paragraph" w:styleId="NormalWeb">
    <w:name w:val="Normal (Web)"/>
    <w:basedOn w:val="Normal"/>
    <w:uiPriority w:val="99"/>
    <w:semiHidden w:val="1"/>
    <w:unhideWhenUsed w:val="1"/>
    <w:rsid w:val="00216B91"/>
    <w:pPr>
      <w:spacing w:after="100" w:afterAutospacing="1" w:before="100" w:beforeAutospacing="1" w:line="240" w:lineRule="auto"/>
    </w:pPr>
    <w:rPr>
      <w:rFonts w:ascii="Times New Roman" w:cs="Times New Roman" w:eastAsia="Times New Roman" w:hAnsi="Times New Roman"/>
      <w:sz w:val="24"/>
      <w:szCs w:val="24"/>
    </w:rPr>
  </w:style>
  <w:style w:type="table" w:styleId="ae"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f" w:customStyle="1">
    <w:basedOn w:val="TableNormal"/>
    <w:rPr>
      <w:color w:val="366091"/>
    </w:rPr>
    <w:tblPr>
      <w:tblStyleRowBandSize w:val="1"/>
      <w:tblStyleColBandSize w:val="1"/>
    </w:tblPr>
  </w:style>
  <w:style w:type="table" w:styleId="af0"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0FK8vVccrByLV3JA735PCop05A==">CgMxLjAyCGguZ2pkZ3hzMg5oLmgxMmxpMzk3NDFsNDIJaC4zMGowemxsMgloLjFmb2I5dGUyCWguM3pueXNoNzIJaC4yZXQ5MnAwOAByITFJbDV6MlAzQXpUR0JzeDBXNjd0Sm1TbEpCMGRuUmR3cA==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2023-12-15T14:28:00Z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